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F64" w:rsidRPr="00B539AF" w:rsidRDefault="00971F64" w:rsidP="00971F64">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Phụ lục VI</w:t>
      </w:r>
    </w:p>
    <w:p w:rsidR="00971F64" w:rsidRPr="00B539AF" w:rsidRDefault="00971F64" w:rsidP="00971F64">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NỘI DUNG KẾ HOẠCH ỨNG PHÓ SỰ CỐ BỨC XẠ CẤP CƠ SỞ</w:t>
      </w:r>
    </w:p>
    <w:p w:rsidR="00971F64" w:rsidRDefault="00971F64" w:rsidP="00971F64">
      <w:pPr>
        <w:spacing w:after="0" w:line="240" w:lineRule="auto"/>
        <w:jc w:val="center"/>
        <w:rPr>
          <w:rFonts w:ascii="Arial" w:hAnsi="Arial" w:cs="Arial"/>
          <w:i/>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rsidR="00971F64" w:rsidRDefault="00971F64" w:rsidP="00971F64">
      <w:pPr>
        <w:spacing w:after="0" w:line="240" w:lineRule="auto"/>
        <w:rPr>
          <w:rFonts w:ascii="Arial" w:hAnsi="Arial" w:cs="Arial"/>
          <w:color w:val="000000" w:themeColor="text1"/>
          <w:sz w:val="20"/>
          <w:szCs w:val="20"/>
        </w:rPr>
      </w:pPr>
    </w:p>
    <w:p w:rsidR="00971F64" w:rsidRPr="00B16D7D" w:rsidRDefault="00971F64" w:rsidP="00971F64">
      <w:pPr>
        <w:spacing w:after="0" w:line="240" w:lineRule="auto"/>
        <w:jc w:val="center"/>
        <w:rPr>
          <w:rFonts w:ascii="Arial" w:hAnsi="Arial" w:cs="Arial"/>
          <w:b/>
          <w:color w:val="000000" w:themeColor="text1"/>
          <w:sz w:val="20"/>
          <w:szCs w:val="20"/>
        </w:rPr>
      </w:pPr>
      <w:r w:rsidRPr="00B16D7D">
        <w:rPr>
          <w:rFonts w:ascii="Arial" w:hAnsi="Arial" w:cs="Arial"/>
          <w:b/>
          <w:color w:val="000000" w:themeColor="text1"/>
          <w:sz w:val="20"/>
          <w:szCs w:val="20"/>
        </w:rPr>
        <w:t>A. NỘI DUNG KẾ HOẠCH ỨNG PHÓ SỰ CỐ BỨC XẠ</w:t>
      </w:r>
      <w:r w:rsidRPr="00B16D7D">
        <w:rPr>
          <w:rFonts w:ascii="Arial" w:hAnsi="Arial" w:cs="Arial"/>
          <w:b/>
          <w:color w:val="000000" w:themeColor="text1"/>
          <w:sz w:val="20"/>
          <w:szCs w:val="20"/>
        </w:rPr>
        <w:br/>
        <w:t xml:space="preserve"> TRONG TRƯỜNG HỢP PHẢI ĐỀ NGHỊ PHÊ DUYỆT</w:t>
      </w:r>
    </w:p>
    <w:p w:rsidR="00971F64" w:rsidRPr="00B16D7D" w:rsidRDefault="00971F64" w:rsidP="00971F64">
      <w:pPr>
        <w:spacing w:after="0" w:line="240" w:lineRule="auto"/>
        <w:rPr>
          <w:rFonts w:ascii="Arial" w:hAnsi="Arial" w:cs="Arial"/>
          <w:b/>
          <w:color w:val="000000" w:themeColor="text1"/>
          <w:sz w:val="20"/>
          <w:szCs w:val="20"/>
        </w:rPr>
      </w:pP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tổ chức, cá nhân tiến hành công việc bức xạ (trừ các kế hoạch ứng phó sự cố nêu tại Mục II, Mục III)</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phạm vi điều chỉnh và đối tượng áp dụng của bản kế hoạch ứng phó sự cố; giải thích khái niệm, thuật ngữ được dùng trong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và xác định các tình huống sự cố, hậu quả có thể xảy ra.</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Sơ đồ tổ chức ứng phó sự cố tại cơ sở; trách nhiệm của tổ chức, cá nhân liên quan và nguồn lực phục vụ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Kịch bản ứng phó cho từng tình huống sự cố có thể xảy ra, gồm các nội dung sau đây:</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Tiếp nhận và xử lý thông tin sự cố: Quy trình tiếp nhận và xử lý thông tin; hướng dẫn bảo vệ công chúng và hạn chế sự lan rộng của sự cố, xác định mức độ huy động nguồn lực ứng phó ban đầu;</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Thông báo cho các tổ chức, cá nhân tham gia ứng phó sự cố: Quy trình thông báo tới các tổ chức, cá nhân tham gia ứng phó sự cố; Quy định người chịu trách nhiệm chỉ huy ứng phó sự cố tại hiện trường;</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Huy động nguồn lực và triển khai ứng phó: Quy định trách nhiệm huy động và triển khai nguồn lực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Tiến hành các biện pháp can thiệp tại hiện trường: Sơ tán người dân khi cần thiết, tiến hành phân loại người nhiễm bẩn phóng xạ và tiến hành tẩy xạ tại chỗ, thu hồi nguồn phóng xạ hoặc tẩy xạ, bảo vệ nhân viên ứng phó và người dân, cấp cứu và điều trị cho nạn nhân...; yêu cầu hỗ trợ ứng phó;</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Kết thúc hoạt động ứng phó và chuẩn bị kế hoạch khắc phục dài hạn: Cách thức ra quyết định kết thúc sự cố và thông báo cho người dân về quyết định đó; xác định tiêu chí và lập kế hoạch về kiểm soát phóng xạ, khắc phục hậu quả môi trường, theo dõi và điều trị nạn nhân;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e)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Đào tạo, diễn tập, cập nhật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w:t>
      </w:r>
      <w:r>
        <w:rPr>
          <w:rFonts w:ascii="Arial" w:hAnsi="Arial" w:cs="Arial"/>
          <w:color w:val="000000" w:themeColor="text1"/>
          <w:sz w:val="20"/>
          <w:szCs w:val="20"/>
        </w:rPr>
        <w:t>u kèm theo:</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mục nguồn phóng xạ, thiết bị bức xạ của cơ sở (Thông tin nguồn/thiết bị, giấy phép liên quan);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Sơ đồ mặt bằng cơ sở, nơi tiến hành công việc bức xạ;</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Danh mục trang thiết bị sử dụng trong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Danh sách, địa chỉ, số điện thoại liên lạc của tổ chức, cá nhân tham gia ứng phó sự cố và tổ chức, cá nhân hỗ trợ;</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Các biểu mẫu: Thông báo và tiếp nhận thông tin; yêu cầu trợ giúp; báo cáo trong quá trình ứng phó và sau khi sự cố kết thúc.</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Kế hoạch ứng phó sự cố đối với cơ sở tiến hành công việc bức xạ đóng gói, vận chuyển nguồn phóng xạ, vật liệu hạt nhân nguồn, vật liệu hạt nhân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trách nhiệm của tổ chức, cá nhân trong việc xây dựng, thực hiện và chỉnh sửa kế hoạch.</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và xác định các tình huống sự cố, hậu quả có thể xảy ra.</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3. Hướng dẫn về các hành động cần thực hiện ngay khi xảy ra sự cố để giảm thiểu hậu quả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Quy trình ứng phó cho từng tình huống sự cố có thể xảy ra, trong đó có các nội dung sau:</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Mục tiêu;</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Các bước cần thực hiện, đối tượng thực hiện, biện pháp thực hiện;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Báo cáo trong quá trình ứng phó và sau khi kết thúc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Tổ chức, cá nhân liên quan.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Quy định về đào tạo, diễn tập, cập nhật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liệu kèm theo:</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sách, địa chỉ, số điện thoại liên lạc của tổ chức, cá nhân tham gia ứng phó sự cố và tổ chức, cá nhân hỗ trợ;</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Danh mục trang thiết bị sử dụng trong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Các biểu mẫu: Thông báo và tiếp nhận thông tin; yêu cầu trợ giúp; báo cáo trong quá trình ứng phó và sau khi sự cố kết thúc.</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các cơ sở đăng ký dịch vụ hỗ trợ năng lượng nguyên tử (lắp đặt nguồn phóng xạ Nhóm 1, Nhóm 2 theo quy chuẩn kỹ thuật quốc gia về phân nhóm nguồn phóng xạ)</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sơ đồ tổ chức ứng phó sự cố tại cơ sở; trách nhiệm của tổ chức, cá nhân liên quan và nguồn lực phục vụ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dịch vụ hỗ trợ năng lượng nguyên tử của cơ sở; phân tích nguy cơ và xác định các tình huống sự cố, hậu quả có thể xảy ra khi cung cấp dịch vụ.</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sự cố cho từng tình huống mô tả tại khoản 2 mục này.</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Đào tạo, diễn tập, cập nhật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liệu kèm theo:</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sách, địa chỉ, số điện thoại liên lạc của tổ chức, cá nhân tham gia ứng phó sự cố và tổ chức, cá nhân hỗ trợ;</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Danh mục trang thiết bị sử dụng trong ứng phó sự cố;</w:t>
      </w:r>
    </w:p>
    <w:p w:rsidR="00971F64"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Các biểu mẫu: Thông báo và tiếp nhận thông tin; yêu cầu trợ giúp; báo cáo trong quá trình ứng phó và sau khi sự cố kết thúc.</w:t>
      </w:r>
    </w:p>
    <w:p w:rsidR="00971F64" w:rsidRPr="00B539AF" w:rsidRDefault="00971F64" w:rsidP="00971F64">
      <w:pPr>
        <w:spacing w:after="0" w:line="240" w:lineRule="auto"/>
        <w:jc w:val="both"/>
        <w:rPr>
          <w:rFonts w:ascii="Arial" w:hAnsi="Arial" w:cs="Arial"/>
          <w:color w:val="000000" w:themeColor="text1"/>
          <w:sz w:val="20"/>
          <w:szCs w:val="20"/>
        </w:rPr>
      </w:pPr>
    </w:p>
    <w:p w:rsidR="00971F64" w:rsidRDefault="00971F64" w:rsidP="00971F64">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 xml:space="preserve">B. NỘI DUNG KẾ HOẠCH ỨNG PHÓ SỰ CỐ BỨC XẠ </w:t>
      </w:r>
      <w:r>
        <w:rPr>
          <w:rFonts w:ascii="Arial" w:hAnsi="Arial" w:cs="Arial"/>
          <w:b/>
          <w:color w:val="000000" w:themeColor="text1"/>
          <w:sz w:val="20"/>
          <w:szCs w:val="20"/>
        </w:rPr>
        <w:br/>
      </w:r>
      <w:r w:rsidRPr="00B539AF">
        <w:rPr>
          <w:rFonts w:ascii="Arial" w:hAnsi="Arial" w:cs="Arial"/>
          <w:b/>
          <w:color w:val="000000" w:themeColor="text1"/>
          <w:sz w:val="20"/>
          <w:szCs w:val="20"/>
        </w:rPr>
        <w:t>TRONG TRƯỜNG HỢP KHÔNG PHÊ DUYỆT</w:t>
      </w:r>
    </w:p>
    <w:p w:rsidR="00971F64" w:rsidRPr="00B539AF" w:rsidRDefault="00971F64" w:rsidP="00971F64">
      <w:pPr>
        <w:spacing w:after="0" w:line="240" w:lineRule="auto"/>
        <w:jc w:val="center"/>
        <w:rPr>
          <w:rFonts w:ascii="Arial" w:hAnsi="Arial" w:cs="Arial"/>
          <w:color w:val="000000" w:themeColor="text1"/>
          <w:sz w:val="20"/>
          <w:szCs w:val="20"/>
        </w:rPr>
      </w:pP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 Kế hoạch ứng phó sự cố đối với cơ sở tiến hành công việc bức xạ sử dụng, lưu giữ, đóng gói và vận chuyển nguồn phóng xạ thuộc nhóm 3, nhóm 4 theo quy định tại QCVN 6:2010/BKHCN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phạm vi điều chỉnh và đối tượng áp dụng của bản kế hoạch ứng phó sự cố; giải thích khái niệm, thuật ngữ được dùng trong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và xác định các tình huống sự cố, hậu quả có thể xảy ra.</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cho từng tình huống sự cố như mô tả ở khoản 2, gồm các nội dung sau đây:</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Tiếp nhận và xử lý thông tin sự cố, thông báo cho các tổ chức, cá nhân tham gia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b) Quy trình ứng phó đối với từng tình huống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Tiêu chí ra quyết định kết thúc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Việc khắc phục hậu quả về môi trường, theo dõi và điều trị về sức khoẻ cho nạn nhân (nếu có);</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Báo cáo kết thúc sự cố: Nơi nhận, thời gian gửi, nội dung của báo cáo (hoạt động ứng phó sự cố; biện pháp khắc phục sự cố đã được tiến hành, hậu quả đối với con người và môi trường; đánh giá liều bức xạ, kết luận và kiến nghị).</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Đào tạo, diễn tập, cập nhật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Tài liệu kèm theo:</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mục nguồn phóng xạ, thiết bị bức xạ của cơ sở (Thông tin nguồn/thiết bị, giấy phép liên quan);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Sơ đồ mặt bằng cơ sở, nơi tiến hành công việc bức xạ;</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Danh mục trang thiết bị sử dụng trong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Danh sách, địa chỉ, số điện thoại liên lạc của tổ chức, cá nhân tham gia ứng phó sự cố và tổ chức, cá nhân hỗ trợ;</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Các biểu mẫu: Thông báo và tiếp nhận thông tin; yêu cầu trợ giúp; báo cáo trong quá trình ứng phó và sau khi sự cố kết thúc.</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cơ sở tiến hành công việc bức xạ sử dụng, lưu giữ, đóng gói và vận chuyển nguồn phóng xạ thuộc nhóm 5 theo quy định tại QCVN 6:2010/BKHCN</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tình huống liên quan tới thất lạc nguồn phóng xạ, mất an toàn liên quan tới nguồn phóng xạ.</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sự cố cho từng tình huống mô tả tại khoản 2.</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cơ sở sử dụng thiết bị X-quang chẩn đoán y tế và thiết bị phát tia X khác</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Trách nhiệm báo cáo sự cố khi có người bị chiếu xạ quá liều.</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Báo cáo kết thúc sự cố: Nơi nhận, thời gian gửi, nội dung của báo cáo (hoạt động khắc phục sự cố đã thực hiện, hậu quả sự cố, đánh giá liều bức xạ, kết luận và kiến nghị).</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Quy định về trách nhiệm, phương pháp đánh giá liều và theo dõi sức khoẻ của cá nhân bị chiếu xạ quá liều.</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IV.</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các cơ sở đăng ký dịch vụ hỗ trợ năng lượng nguyên tử</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sơ đồ tổ chức ứng phó sự cố tại cơ sở; trách nhiệm của tổ chức, cá nhân liên quan và nguồn lực phục vụ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dịch vụ hỗ trợ năng lượng nguyên tử của cơ sở; phân tích nguy cơ và xác định các tình huống sự cố, hậu quả có thể xảy ra khi cung cấp dịch vụ.</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sự cố cho từng tình huống mô tả tại khoản 2 mục này.</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Đào tạo, diễn tập, cập nhật kế hoạch ứng phó sự cố.</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liệu kèm theo:</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a) Danh sách, địa chỉ, số điện thoại liên lạc của tổ chức, cá nhân tham gia ứng phó sự cố và tổ chức, cá nhân hỗ trợ;</w:t>
      </w:r>
    </w:p>
    <w:p w:rsidR="00971F64" w:rsidRPr="00B539AF"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Danh mục trang thiết bị sử dụng trong ứng phó sự cố;</w:t>
      </w:r>
    </w:p>
    <w:p w:rsidR="00971F64" w:rsidRDefault="00971F64" w:rsidP="00971F64">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Các biểu mẫu: Thông báo và tiếp nhận thông tin; yêu cầu trợ giúp; báo cáo trong quá trình ứng phó và sau khi sự cố kết thúc.</w:t>
      </w:r>
    </w:p>
    <w:p w:rsidR="0034473B" w:rsidRDefault="00971F64">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F64"/>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71F64"/>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31749B-B06C-46E7-B145-D7348B8A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F64"/>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7612</Characters>
  <Application>Microsoft Office Word</Application>
  <DocSecurity>0</DocSecurity>
  <Lines>63</Lines>
  <Paragraphs>17</Paragraphs>
  <ScaleCrop>false</ScaleCrop>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2025-12-29T03:33:00Z</dcterms:created>
  <dcterms:modified xsi:type="dcterms:W3CDTF">2025-12-29T03:33:00Z</dcterms:modified>
</cp:coreProperties>
</file>